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0572" w14:textId="121406E2" w:rsidR="00DA47CA" w:rsidRDefault="0059023F" w:rsidP="00DA47CA">
      <w:pPr>
        <w:spacing w:after="0" w:line="240" w:lineRule="auto"/>
        <w:jc w:val="right"/>
        <w:rPr>
          <w:b/>
        </w:rPr>
      </w:pPr>
      <w:r>
        <w:rPr>
          <w:b/>
          <w:sz w:val="24"/>
          <w:szCs w:val="24"/>
        </w:rPr>
        <w:t>[MOD. 05</w:t>
      </w:r>
      <w:r w:rsidR="007B2033">
        <w:rPr>
          <w:b/>
          <w:sz w:val="24"/>
          <w:szCs w:val="24"/>
        </w:rPr>
        <w:t>.01</w:t>
      </w:r>
      <w:r w:rsidR="00DA47CA" w:rsidRPr="004F5AA1">
        <w:rPr>
          <w:b/>
          <w:sz w:val="24"/>
          <w:szCs w:val="24"/>
        </w:rPr>
        <w:t>]</w:t>
      </w:r>
      <w:r w:rsidR="007A56ED">
        <w:rPr>
          <w:rStyle w:val="Rimandonotaapidipagina"/>
          <w:b/>
        </w:rPr>
        <w:footnoteReference w:id="1"/>
      </w:r>
    </w:p>
    <w:p w14:paraId="09EDE7DE" w14:textId="77777777" w:rsidR="00DA47CA" w:rsidRDefault="00DA47CA" w:rsidP="00DA47CA">
      <w:pPr>
        <w:spacing w:after="0" w:line="240" w:lineRule="auto"/>
        <w:jc w:val="right"/>
        <w:rPr>
          <w:b/>
        </w:rPr>
      </w:pPr>
    </w:p>
    <w:p w14:paraId="06E4D86A" w14:textId="77777777" w:rsidR="003B0717" w:rsidRDefault="003B0717" w:rsidP="003B0717">
      <w:pPr>
        <w:spacing w:after="0" w:line="240" w:lineRule="auto"/>
        <w:jc w:val="center"/>
        <w:rPr>
          <w:b/>
          <w:sz w:val="24"/>
          <w:szCs w:val="24"/>
        </w:rPr>
      </w:pPr>
      <w:r>
        <w:rPr>
          <w:b/>
          <w:sz w:val="24"/>
          <w:szCs w:val="24"/>
        </w:rPr>
        <w:t>REQUISITI AMMINISTRATORE DI CONDOMINIO O CONSORZIO</w:t>
      </w:r>
    </w:p>
    <w:p w14:paraId="144F152C" w14:textId="77777777" w:rsidR="003B0717" w:rsidRDefault="003B0717" w:rsidP="003B0717">
      <w:pPr>
        <w:spacing w:after="0" w:line="240" w:lineRule="auto"/>
        <w:jc w:val="center"/>
        <w:rPr>
          <w:b/>
          <w:sz w:val="24"/>
          <w:szCs w:val="24"/>
        </w:rPr>
      </w:pPr>
      <w:r>
        <w:rPr>
          <w:b/>
          <w:sz w:val="24"/>
          <w:szCs w:val="24"/>
        </w:rPr>
        <w:t>EX ART. 71 BIS DISPOSIZIONI DI ATTUAZIONE DEL CODICE CIVILE</w:t>
      </w:r>
    </w:p>
    <w:p w14:paraId="38EBE5D2" w14:textId="77777777" w:rsidR="003B0717" w:rsidRDefault="003B0717" w:rsidP="005C17E9">
      <w:pPr>
        <w:spacing w:after="0" w:line="240" w:lineRule="auto"/>
        <w:jc w:val="center"/>
        <w:rPr>
          <w:b/>
          <w:sz w:val="24"/>
          <w:szCs w:val="24"/>
        </w:rPr>
      </w:pPr>
    </w:p>
    <w:p w14:paraId="4CDC7C02" w14:textId="77777777" w:rsidR="00F44E37"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418E46F2" w14:textId="77777777" w:rsidR="00F44E37" w:rsidRDefault="00F44E37" w:rsidP="005C17E9">
      <w:pPr>
        <w:spacing w:after="0" w:line="240" w:lineRule="auto"/>
        <w:jc w:val="center"/>
      </w:pPr>
      <w:r>
        <w:t>(</w:t>
      </w:r>
      <w:r w:rsidRPr="004F5AA1">
        <w:rPr>
          <w:i/>
        </w:rPr>
        <w:t>ai sensi e per gli effetti degli artt. 46 e 47 del D.P.R. n. 445/2000</w:t>
      </w:r>
      <w:r>
        <w:t>)</w:t>
      </w:r>
    </w:p>
    <w:p w14:paraId="0A44932D" w14:textId="77777777" w:rsidR="00AB16FA" w:rsidRDefault="00AB16FA" w:rsidP="005C17E9">
      <w:pPr>
        <w:spacing w:after="0" w:line="240" w:lineRule="auto"/>
        <w:jc w:val="center"/>
        <w:rPr>
          <w:b/>
          <w:sz w:val="24"/>
          <w:szCs w:val="24"/>
        </w:rPr>
      </w:pPr>
    </w:p>
    <w:p w14:paraId="03CECFFC" w14:textId="77777777" w:rsidR="00AB16FA" w:rsidRPr="00AB16FA" w:rsidRDefault="00AB16FA" w:rsidP="00AB16FA">
      <w:pPr>
        <w:spacing w:after="0" w:line="240" w:lineRule="auto"/>
        <w:jc w:val="center"/>
        <w:rPr>
          <w:i/>
          <w:sz w:val="24"/>
          <w:szCs w:val="24"/>
        </w:rPr>
      </w:pPr>
    </w:p>
    <w:p w14:paraId="300DB796" w14:textId="77777777" w:rsidR="00ED5CAA" w:rsidRDefault="00977DDF" w:rsidP="00A61E2E">
      <w:pPr>
        <w:spacing w:line="240" w:lineRule="auto"/>
        <w:jc w:val="both"/>
        <w:rPr>
          <w:rFonts w:ascii="Calibri" w:hAnsi="Calibri" w:cs="Calibri"/>
        </w:rPr>
      </w:pPr>
      <w:r w:rsidRPr="004F5AA1">
        <w:rPr>
          <w:rFonts w:ascii="Calibri" w:hAnsi="Calibri" w:cs="Calibri"/>
        </w:rPr>
        <w:t>Il</w:t>
      </w:r>
      <w:r w:rsidR="005C17E9" w:rsidRPr="004F5AA1">
        <w:rPr>
          <w:rFonts w:ascii="Calibri" w:hAnsi="Calibri" w:cs="Calibri"/>
        </w:rPr>
        <w:t>/La</w:t>
      </w:r>
      <w:r w:rsidR="00891B9F" w:rsidRPr="004F5AA1">
        <w:rPr>
          <w:rFonts w:ascii="Calibri" w:hAnsi="Calibri" w:cs="Calibri"/>
        </w:rPr>
        <w:t xml:space="preserve"> sottoscritto</w:t>
      </w:r>
      <w:r w:rsidR="005C17E9" w:rsidRPr="004F5AA1">
        <w:rPr>
          <w:rFonts w:ascii="Calibri" w:hAnsi="Calibri" w:cs="Calibri"/>
        </w:rPr>
        <w:t>/</w:t>
      </w:r>
      <w:proofErr w:type="gramStart"/>
      <w:r w:rsidR="005C17E9" w:rsidRPr="004F5AA1">
        <w:rPr>
          <w:rFonts w:ascii="Calibri" w:hAnsi="Calibri" w:cs="Calibri"/>
        </w:rPr>
        <w:t>a</w:t>
      </w:r>
      <w:r w:rsidR="007C37EA">
        <w:rPr>
          <w:rFonts w:ascii="Calibri" w:hAnsi="Calibri" w:cs="Calibri"/>
        </w:rPr>
        <w:t xml:space="preserve"> </w:t>
      </w:r>
      <w:r w:rsidRPr="004F5AA1">
        <w:rPr>
          <w:rFonts w:ascii="Calibri" w:hAnsi="Calibri" w:cs="Calibri"/>
        </w:rPr>
        <w:t xml:space="preserve"> _</w:t>
      </w:r>
      <w:proofErr w:type="gramEnd"/>
      <w:r w:rsidRPr="004F5AA1">
        <w:rPr>
          <w:rFonts w:ascii="Calibri" w:hAnsi="Calibri" w:cs="Calibri"/>
        </w:rPr>
        <w:t>_____</w:t>
      </w:r>
      <w:r w:rsidR="007C37EA">
        <w:rPr>
          <w:rFonts w:ascii="Calibri" w:hAnsi="Calibri" w:cs="Calibri"/>
        </w:rPr>
        <w:t>_____________________</w:t>
      </w:r>
      <w:r w:rsidR="00891B9F" w:rsidRPr="004F5AA1">
        <w:rPr>
          <w:rFonts w:ascii="Calibri" w:hAnsi="Calibri" w:cs="Calibri"/>
        </w:rPr>
        <w:t>_</w:t>
      </w:r>
      <w:r w:rsidR="007C37EA">
        <w:rPr>
          <w:rFonts w:ascii="Calibri" w:hAnsi="Calibri" w:cs="Calibri"/>
        </w:rPr>
        <w:t xml:space="preserve">______________, </w:t>
      </w:r>
      <w:r w:rsidR="00891B9F" w:rsidRPr="004F5AA1">
        <w:rPr>
          <w:rFonts w:ascii="Calibri" w:hAnsi="Calibri" w:cs="Calibri"/>
        </w:rPr>
        <w:t>nato</w:t>
      </w:r>
      <w:r w:rsidR="00F44E37">
        <w:rPr>
          <w:rFonts w:ascii="Calibri" w:hAnsi="Calibri" w:cs="Calibri"/>
        </w:rPr>
        <w:t>/</w:t>
      </w:r>
      <w:r w:rsidR="00A61E2E">
        <w:rPr>
          <w:rFonts w:ascii="Calibri" w:hAnsi="Calibri" w:cs="Calibri"/>
        </w:rPr>
        <w:t>a</w:t>
      </w:r>
      <w:r w:rsidR="00891B9F" w:rsidRPr="004F5AA1">
        <w:rPr>
          <w:rFonts w:ascii="Calibri" w:hAnsi="Calibri" w:cs="Calibri"/>
        </w:rPr>
        <w:t xml:space="preserve"> </w:t>
      </w:r>
      <w:proofErr w:type="spellStart"/>
      <w:r w:rsidR="00891B9F" w:rsidRPr="004F5AA1">
        <w:rPr>
          <w:rFonts w:ascii="Calibri" w:hAnsi="Calibri" w:cs="Calibri"/>
        </w:rPr>
        <w:t>a</w:t>
      </w:r>
      <w:proofErr w:type="spellEnd"/>
      <w:r w:rsidR="00891B9F" w:rsidRPr="004F5AA1">
        <w:rPr>
          <w:rFonts w:ascii="Calibri" w:hAnsi="Calibri" w:cs="Calibri"/>
        </w:rPr>
        <w:t xml:space="preserve"> _</w:t>
      </w:r>
      <w:r w:rsidR="00A61E2E">
        <w:rPr>
          <w:rFonts w:ascii="Calibri" w:hAnsi="Calibri" w:cs="Calibri"/>
        </w:rPr>
        <w:t>___________________</w:t>
      </w:r>
      <w:r w:rsidR="00F44E37">
        <w:rPr>
          <w:rFonts w:ascii="Calibri" w:hAnsi="Calibri" w:cs="Calibri"/>
        </w:rPr>
        <w:t>_</w:t>
      </w:r>
      <w:r w:rsidR="00A61E2E">
        <w:rPr>
          <w:rFonts w:ascii="Calibri" w:hAnsi="Calibri" w:cs="Calibri"/>
        </w:rPr>
        <w:t>,</w:t>
      </w:r>
    </w:p>
    <w:p w14:paraId="1948C272" w14:textId="77777777" w:rsidR="00ED5CAA" w:rsidRDefault="00891B9F" w:rsidP="00A61E2E">
      <w:pPr>
        <w:spacing w:line="240" w:lineRule="auto"/>
        <w:jc w:val="both"/>
        <w:rPr>
          <w:rFonts w:ascii="Calibri" w:hAnsi="Calibri" w:cs="Calibri"/>
        </w:rPr>
      </w:pPr>
      <w:r w:rsidRPr="004F5AA1">
        <w:rPr>
          <w:rFonts w:ascii="Calibri" w:hAnsi="Calibri" w:cs="Calibri"/>
        </w:rPr>
        <w:t>il _</w:t>
      </w:r>
      <w:r w:rsidR="00977DDF" w:rsidRPr="004F5AA1">
        <w:rPr>
          <w:rFonts w:ascii="Calibri" w:hAnsi="Calibri" w:cs="Calibri"/>
        </w:rPr>
        <w:t>_____________________</w:t>
      </w:r>
      <w:r w:rsidRPr="004F5AA1">
        <w:rPr>
          <w:rFonts w:ascii="Calibri" w:hAnsi="Calibri" w:cs="Calibri"/>
        </w:rPr>
        <w:t xml:space="preserve">, residente in (comune) </w:t>
      </w:r>
      <w:r w:rsidR="00977DDF" w:rsidRPr="004F5AA1">
        <w:rPr>
          <w:rFonts w:ascii="Calibri" w:hAnsi="Calibri" w:cs="Calibri"/>
        </w:rPr>
        <w:t>_______________________________</w:t>
      </w:r>
      <w:r w:rsidRPr="004F5AA1">
        <w:rPr>
          <w:rFonts w:ascii="Calibri" w:hAnsi="Calibri" w:cs="Calibri"/>
        </w:rPr>
        <w:t xml:space="preserve">, provincia </w:t>
      </w:r>
      <w:r w:rsidR="00977DDF" w:rsidRPr="004F5AA1">
        <w:rPr>
          <w:rFonts w:ascii="Calibri" w:hAnsi="Calibri" w:cs="Calibri"/>
        </w:rPr>
        <w:t>(__</w:t>
      </w:r>
      <w:r w:rsidRPr="004F5AA1">
        <w:rPr>
          <w:rFonts w:ascii="Calibri" w:hAnsi="Calibri" w:cs="Calibri"/>
        </w:rPr>
        <w:t>_</w:t>
      </w:r>
      <w:r w:rsidR="00A61E2E">
        <w:rPr>
          <w:rFonts w:ascii="Calibri" w:hAnsi="Calibri" w:cs="Calibri"/>
        </w:rPr>
        <w:t>_</w:t>
      </w:r>
      <w:r w:rsidR="00977DDF" w:rsidRPr="004F5AA1">
        <w:rPr>
          <w:rFonts w:ascii="Calibri" w:hAnsi="Calibri" w:cs="Calibri"/>
        </w:rPr>
        <w:t xml:space="preserve">), </w:t>
      </w:r>
    </w:p>
    <w:p w14:paraId="175857CC" w14:textId="77777777" w:rsidR="00977DDF" w:rsidRPr="004F5AA1" w:rsidRDefault="00891B9F" w:rsidP="00A61E2E">
      <w:pPr>
        <w:spacing w:line="240" w:lineRule="auto"/>
        <w:jc w:val="both"/>
        <w:rPr>
          <w:rFonts w:ascii="Calibri" w:hAnsi="Calibri" w:cs="Calibri"/>
        </w:rPr>
      </w:pPr>
      <w:r w:rsidRPr="004F5AA1">
        <w:rPr>
          <w:rFonts w:ascii="Calibri" w:hAnsi="Calibri" w:cs="Calibri"/>
        </w:rPr>
        <w:t xml:space="preserve">indirizzo </w:t>
      </w:r>
      <w:r w:rsidR="00977DDF" w:rsidRPr="004F5AA1">
        <w:rPr>
          <w:rFonts w:ascii="Calibri" w:hAnsi="Calibri" w:cs="Calibri"/>
        </w:rPr>
        <w:t>________________________________________________________</w:t>
      </w:r>
      <w:r w:rsidRPr="004F5AA1">
        <w:rPr>
          <w:rFonts w:ascii="Calibri" w:hAnsi="Calibri" w:cs="Calibri"/>
        </w:rPr>
        <w:t xml:space="preserve">, n. civico </w:t>
      </w:r>
      <w:r w:rsidR="00977DDF" w:rsidRPr="004F5AA1">
        <w:rPr>
          <w:rFonts w:ascii="Calibri" w:hAnsi="Calibri" w:cs="Calibri"/>
        </w:rPr>
        <w:t>_______________</w:t>
      </w:r>
      <w:r w:rsidR="005C17E9" w:rsidRPr="004F5AA1">
        <w:rPr>
          <w:rFonts w:ascii="Calibri" w:hAnsi="Calibri" w:cs="Calibri"/>
        </w:rPr>
        <w:t>_</w:t>
      </w:r>
      <w:r w:rsidR="00977DDF" w:rsidRPr="004F5AA1">
        <w:rPr>
          <w:rFonts w:ascii="Calibri" w:hAnsi="Calibri" w:cs="Calibri"/>
        </w:rPr>
        <w:t>,</w:t>
      </w:r>
    </w:p>
    <w:p w14:paraId="332CF26B" w14:textId="77777777" w:rsidR="00ED5CAA" w:rsidRPr="00ED5CAA" w:rsidRDefault="00A61E2E" w:rsidP="00383E1A">
      <w:pPr>
        <w:spacing w:line="240" w:lineRule="auto"/>
        <w:jc w:val="both"/>
        <w:rPr>
          <w:rFonts w:ascii="Calibri" w:hAnsi="Calibri" w:cs="Calibri"/>
        </w:rPr>
      </w:pPr>
      <w:r>
        <w:rPr>
          <w:rFonts w:ascii="Calibri" w:hAnsi="Calibri" w:cs="Calibri"/>
        </w:rPr>
        <w:t>C.F.</w:t>
      </w:r>
      <w:r w:rsidR="00891B9F" w:rsidRPr="004F5AA1">
        <w:rPr>
          <w:rFonts w:ascii="Calibri" w:hAnsi="Calibri" w:cs="Calibri"/>
        </w:rPr>
        <w:t xml:space="preserve"> </w:t>
      </w:r>
      <w:r w:rsidR="00977DDF" w:rsidRPr="004F5AA1">
        <w:rPr>
          <w:rFonts w:ascii="Calibri" w:hAnsi="Calibri" w:cs="Calibri"/>
        </w:rPr>
        <w:t>____</w:t>
      </w:r>
      <w:r>
        <w:rPr>
          <w:rFonts w:ascii="Calibri" w:hAnsi="Calibri" w:cs="Calibri"/>
        </w:rPr>
        <w:t>_______________________</w:t>
      </w:r>
      <w:r w:rsidR="00ED5CAA">
        <w:rPr>
          <w:rFonts w:ascii="Calibri" w:hAnsi="Calibri" w:cs="Calibri"/>
        </w:rPr>
        <w:t>______</w:t>
      </w:r>
      <w:r w:rsidR="00383E1A">
        <w:rPr>
          <w:rFonts w:ascii="Calibri" w:hAnsi="Calibri" w:cs="Calibri"/>
        </w:rPr>
        <w:t>______</w:t>
      </w:r>
      <w:r w:rsidR="00ED5CAA">
        <w:rPr>
          <w:rFonts w:ascii="Calibri" w:hAnsi="Calibri" w:cs="Calibri"/>
        </w:rPr>
        <w:t>_</w:t>
      </w:r>
      <w:r>
        <w:rPr>
          <w:rFonts w:ascii="Calibri" w:hAnsi="Calibri" w:cs="Calibri"/>
        </w:rPr>
        <w:t xml:space="preserve">, </w:t>
      </w:r>
      <w:proofErr w:type="spellStart"/>
      <w:r>
        <w:rPr>
          <w:rFonts w:ascii="Calibri" w:hAnsi="Calibri" w:cs="Calibri"/>
        </w:rPr>
        <w:t>pec</w:t>
      </w:r>
      <w:proofErr w:type="spellEnd"/>
      <w:r>
        <w:rPr>
          <w:rFonts w:ascii="Calibri" w:hAnsi="Calibri" w:cs="Calibri"/>
        </w:rPr>
        <w:t xml:space="preserve"> </w:t>
      </w:r>
      <w:r w:rsidR="00977DDF" w:rsidRPr="004F5AA1">
        <w:rPr>
          <w:rFonts w:ascii="Calibri" w:hAnsi="Calibri" w:cs="Calibri"/>
        </w:rPr>
        <w:t>_</w:t>
      </w:r>
      <w:r w:rsidR="00383E1A">
        <w:rPr>
          <w:rFonts w:ascii="Calibri" w:hAnsi="Calibri" w:cs="Calibri"/>
        </w:rPr>
        <w:t>____</w:t>
      </w:r>
      <w:r w:rsidR="00977DDF" w:rsidRPr="004F5AA1">
        <w:rPr>
          <w:rFonts w:ascii="Calibri" w:hAnsi="Calibri" w:cs="Calibri"/>
        </w:rPr>
        <w:t>___________________</w:t>
      </w:r>
      <w:r w:rsidR="005C17E9" w:rsidRPr="004F5AA1">
        <w:rPr>
          <w:rFonts w:ascii="Calibri" w:hAnsi="Calibri" w:cs="Calibri"/>
        </w:rPr>
        <w:t>_</w:t>
      </w:r>
      <w:r>
        <w:rPr>
          <w:rFonts w:ascii="Calibri" w:hAnsi="Calibri" w:cs="Calibri"/>
        </w:rPr>
        <w:t>_</w:t>
      </w:r>
      <w:r w:rsidR="000E6515">
        <w:rPr>
          <w:rFonts w:ascii="Calibri" w:hAnsi="Calibri" w:cs="Calibri"/>
        </w:rPr>
        <w:t xml:space="preserve">______________ </w:t>
      </w:r>
    </w:p>
    <w:p w14:paraId="5E5CCD62" w14:textId="77777777" w:rsidR="006C2F19" w:rsidRDefault="00BA2557" w:rsidP="006C2F19">
      <w:pPr>
        <w:spacing w:line="240" w:lineRule="auto"/>
        <w:jc w:val="both"/>
        <w:rPr>
          <w:rFonts w:ascii="Calibri" w:hAnsi="Calibri" w:cs="Calibri"/>
          <w:b/>
        </w:rPr>
      </w:pPr>
      <w:r>
        <w:rPr>
          <w:rFonts w:ascii="Calibri" w:hAnsi="Calibri" w:cs="Calibri"/>
          <w:b/>
        </w:rPr>
        <w:t xml:space="preserve">IN QUALITA’ </w:t>
      </w:r>
      <w:r w:rsidR="00AB16FA">
        <w:rPr>
          <w:rFonts w:ascii="Calibri" w:hAnsi="Calibri" w:cs="Calibri"/>
          <w:b/>
        </w:rPr>
        <w:t>DI</w:t>
      </w:r>
      <w:r w:rsidR="006C2F19">
        <w:rPr>
          <w:rFonts w:ascii="Calibri" w:hAnsi="Calibri" w:cs="Calibri"/>
          <w:b/>
        </w:rPr>
        <w:t xml:space="preserve">: </w:t>
      </w:r>
    </w:p>
    <w:p w14:paraId="294012A0" w14:textId="77777777" w:rsidR="00ED5CAA" w:rsidRDefault="006C2F19" w:rsidP="006C2F19">
      <w:pPr>
        <w:pStyle w:val="Paragrafoelenco"/>
        <w:spacing w:line="240" w:lineRule="auto"/>
        <w:jc w:val="both"/>
        <w:rPr>
          <w:rFonts w:ascii="Calibri" w:hAnsi="Calibri" w:cs="Calibri"/>
          <w:b/>
        </w:rPr>
      </w:pPr>
      <w:r>
        <w:sym w:font="Wingdings" w:char="F0A8"/>
      </w:r>
      <w:r>
        <w:t xml:space="preserve"> </w:t>
      </w:r>
      <w:r>
        <w:rPr>
          <w:rFonts w:ascii="Calibri" w:hAnsi="Calibri" w:cs="Calibri"/>
          <w:b/>
        </w:rPr>
        <w:t xml:space="preserve">AMMINISTRATORE DI CONDOMINIO </w:t>
      </w:r>
    </w:p>
    <w:p w14:paraId="1A175ECA" w14:textId="77777777" w:rsidR="006C2F19" w:rsidRPr="006C2F19" w:rsidRDefault="006C2F19" w:rsidP="006C2F19">
      <w:pPr>
        <w:pStyle w:val="Paragrafoelenco"/>
        <w:spacing w:line="240" w:lineRule="auto"/>
        <w:jc w:val="both"/>
        <w:rPr>
          <w:rFonts w:ascii="Calibri" w:hAnsi="Calibri" w:cs="Calibri"/>
          <w:b/>
        </w:rPr>
      </w:pPr>
      <w:r>
        <w:rPr>
          <w:rFonts w:ascii="Calibri" w:hAnsi="Calibri" w:cs="Calibri"/>
          <w:b/>
        </w:rPr>
        <w:sym w:font="Wingdings" w:char="F0A8"/>
      </w:r>
      <w:r>
        <w:rPr>
          <w:rFonts w:ascii="Calibri" w:hAnsi="Calibri" w:cs="Calibri"/>
          <w:b/>
        </w:rPr>
        <w:t xml:space="preserve"> </w:t>
      </w:r>
      <w:r w:rsidRPr="006C2F19">
        <w:rPr>
          <w:rFonts w:ascii="Calibri" w:hAnsi="Calibri" w:cs="Calibri"/>
          <w:b/>
        </w:rPr>
        <w:t>PRESIDENTE DEL CONSORZIO</w:t>
      </w:r>
    </w:p>
    <w:p w14:paraId="0D9C3CFC" w14:textId="77777777" w:rsidR="00BA2557" w:rsidRDefault="00BA2557" w:rsidP="00BA2557">
      <w:pPr>
        <w:spacing w:line="240" w:lineRule="auto"/>
        <w:jc w:val="both"/>
        <w:rPr>
          <w:rFonts w:ascii="Calibri" w:hAnsi="Calibri" w:cs="Calibri"/>
        </w:rPr>
      </w:pPr>
      <w:r>
        <w:rPr>
          <w:rFonts w:ascii="Calibri" w:hAnsi="Calibri" w:cs="Calibri"/>
        </w:rPr>
        <w:t xml:space="preserve">denominato ________________________ </w:t>
      </w:r>
      <w:r w:rsidR="00AB16FA">
        <w:rPr>
          <w:rFonts w:ascii="Calibri" w:hAnsi="Calibri" w:cs="Calibri"/>
        </w:rPr>
        <w:t>C.F.</w:t>
      </w:r>
      <w:r>
        <w:rPr>
          <w:rFonts w:ascii="Calibri" w:hAnsi="Calibri" w:cs="Calibri"/>
        </w:rPr>
        <w:t xml:space="preserve"> ____________________________</w:t>
      </w:r>
      <w:r w:rsidR="006C2F19">
        <w:rPr>
          <w:rFonts w:ascii="Calibri" w:hAnsi="Calibri" w:cs="Calibri"/>
        </w:rPr>
        <w:t>___</w:t>
      </w:r>
      <w:r>
        <w:rPr>
          <w:rFonts w:ascii="Calibri" w:hAnsi="Calibri" w:cs="Calibri"/>
        </w:rPr>
        <w:t xml:space="preserve"> </w:t>
      </w:r>
      <w:r w:rsidR="00AB16FA">
        <w:rPr>
          <w:rFonts w:ascii="Calibri" w:hAnsi="Calibri" w:cs="Calibri"/>
        </w:rPr>
        <w:t xml:space="preserve">ubicato nel Comune di </w:t>
      </w:r>
      <w:r>
        <w:rPr>
          <w:rFonts w:ascii="Calibri" w:hAnsi="Calibri" w:cs="Calibri"/>
        </w:rPr>
        <w:t>______________________</w:t>
      </w:r>
      <w:r w:rsidRPr="00BA2557">
        <w:rPr>
          <w:rFonts w:ascii="Calibri" w:hAnsi="Calibri" w:cs="Calibri"/>
        </w:rPr>
        <w:t xml:space="preserve"> </w:t>
      </w:r>
      <w:r w:rsidR="00DC1430">
        <w:rPr>
          <w:rFonts w:ascii="Calibri" w:hAnsi="Calibri" w:cs="Calibri"/>
        </w:rPr>
        <w:t>in v</w:t>
      </w:r>
      <w:r>
        <w:rPr>
          <w:rFonts w:ascii="Calibri" w:hAnsi="Calibri" w:cs="Calibri"/>
        </w:rPr>
        <w:t>ia _______________________________</w:t>
      </w:r>
      <w:r w:rsidR="00AB16FA">
        <w:rPr>
          <w:rFonts w:ascii="Calibri" w:hAnsi="Calibri" w:cs="Calibri"/>
        </w:rPr>
        <w:t>__________________</w:t>
      </w:r>
      <w:r>
        <w:rPr>
          <w:rFonts w:ascii="Calibri" w:hAnsi="Calibri" w:cs="Calibri"/>
        </w:rPr>
        <w:t xml:space="preserve"> civico ______</w:t>
      </w:r>
    </w:p>
    <w:p w14:paraId="3DDC3B9B" w14:textId="77777777" w:rsidR="00BA2557" w:rsidRPr="00BA2557" w:rsidRDefault="00ED5CAA" w:rsidP="00BA2557">
      <w:pPr>
        <w:spacing w:line="240" w:lineRule="auto"/>
        <w:jc w:val="both"/>
        <w:rPr>
          <w:rFonts w:ascii="Calibri" w:hAnsi="Calibri" w:cs="Calibri"/>
        </w:rPr>
      </w:pPr>
      <w:r>
        <w:rPr>
          <w:rFonts w:ascii="Calibri" w:hAnsi="Calibri" w:cs="Calibri"/>
        </w:rPr>
        <w:t>Identificativi catastali: foglio ________________ mappale ________________ subalterno _______________</w:t>
      </w:r>
      <w:r w:rsidR="00BA2557">
        <w:rPr>
          <w:rFonts w:ascii="Calibri" w:hAnsi="Calibri" w:cs="Calibri"/>
        </w:rPr>
        <w:t xml:space="preserve"> </w:t>
      </w:r>
    </w:p>
    <w:p w14:paraId="44E77BA8" w14:textId="77777777" w:rsidR="003F6490" w:rsidRPr="004F5AA1" w:rsidRDefault="00013BFD" w:rsidP="005C17E9">
      <w:pPr>
        <w:spacing w:line="240" w:lineRule="auto"/>
        <w:jc w:val="both"/>
        <w:rPr>
          <w:rFonts w:ascii="Calibri" w:hAnsi="Calibri" w:cs="Calibri"/>
        </w:rPr>
      </w:pPr>
      <w:r>
        <w:rPr>
          <w:rFonts w:ascii="Calibri" w:hAnsi="Calibri" w:cs="Calibri"/>
        </w:rPr>
        <w:t>v</w:t>
      </w:r>
      <w:r w:rsidR="00A61E2E">
        <w:rPr>
          <w:rFonts w:ascii="Calibri" w:hAnsi="Calibri" w:cs="Calibri"/>
        </w:rPr>
        <w:t>ista la normativa di cui</w:t>
      </w:r>
      <w:r w:rsidR="00181D1A">
        <w:rPr>
          <w:rFonts w:ascii="Calibri" w:hAnsi="Calibri" w:cs="Calibri"/>
        </w:rPr>
        <w:t xml:space="preserve"> all’art.</w:t>
      </w:r>
      <w:r w:rsidR="00ED5CAA">
        <w:rPr>
          <w:rFonts w:ascii="Calibri" w:hAnsi="Calibri" w:cs="Calibri"/>
        </w:rPr>
        <w:t xml:space="preserve"> </w:t>
      </w:r>
      <w:r w:rsidR="00ED5CAA" w:rsidRPr="00ED5CAA">
        <w:rPr>
          <w:rFonts w:ascii="Calibri" w:hAnsi="Calibri" w:cs="Calibri"/>
        </w:rPr>
        <w:t>71 bis delle disposizioni di attuazione del codice civile</w:t>
      </w:r>
      <w:r w:rsidR="0078671F">
        <w:rPr>
          <w:rFonts w:ascii="Calibri" w:hAnsi="Calibri" w:cs="Calibri"/>
        </w:rPr>
        <w:t>,</w:t>
      </w:r>
      <w:r w:rsidR="00A61E2E">
        <w:rPr>
          <w:rFonts w:ascii="Calibri" w:hAnsi="Calibri" w:cs="Calibri"/>
        </w:rPr>
        <w:t xml:space="preserve"> </w:t>
      </w:r>
      <w:r w:rsidR="004A65AE"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w:t>
      </w:r>
      <w:r w:rsidR="0078671F">
        <w:rPr>
          <w:rFonts w:ascii="Calibri" w:hAnsi="Calibri" w:cs="Calibri"/>
        </w:rPr>
        <w:t>lasciata</w:t>
      </w:r>
      <w:r w:rsidR="00291C66" w:rsidRPr="004F5AA1">
        <w:rPr>
          <w:rFonts w:ascii="Calibri" w:hAnsi="Calibri" w:cs="Calibri"/>
        </w:rPr>
        <w:t>,</w:t>
      </w:r>
      <w:r w:rsidR="00DB51E3" w:rsidRPr="004F5AA1">
        <w:rPr>
          <w:rFonts w:ascii="Calibri" w:hAnsi="Calibri" w:cs="Calibri"/>
        </w:rPr>
        <w:t xml:space="preserve"> ai sensi e per gli effetti de</w:t>
      </w:r>
      <w:r w:rsidR="00CF3E54" w:rsidRPr="004F5AA1">
        <w:rPr>
          <w:rFonts w:ascii="Calibri" w:hAnsi="Calibri" w:cs="Calibri"/>
        </w:rPr>
        <w:t>gli artt. 46 e</w:t>
      </w:r>
      <w:r w:rsidR="00DB51E3" w:rsidRPr="004F5AA1">
        <w:rPr>
          <w:rFonts w:ascii="Calibri" w:hAnsi="Calibri" w:cs="Calibri"/>
        </w:rPr>
        <w:t xml:space="preserve"> 47 del D.P.R. n. 445/2000</w:t>
      </w:r>
    </w:p>
    <w:p w14:paraId="7F7FA768" w14:textId="77777777" w:rsidR="003F6490" w:rsidRPr="004F5AA1" w:rsidRDefault="003F6490" w:rsidP="005C17E9">
      <w:pPr>
        <w:spacing w:line="240" w:lineRule="auto"/>
        <w:jc w:val="center"/>
        <w:rPr>
          <w:rFonts w:ascii="Calibri" w:hAnsi="Calibri" w:cs="Calibri"/>
          <w:b/>
        </w:rPr>
      </w:pPr>
      <w:r>
        <w:rPr>
          <w:rFonts w:ascii="Calibri" w:hAnsi="Calibri" w:cs="Calibri"/>
          <w:b/>
        </w:rPr>
        <w:t>DICHIARA</w:t>
      </w:r>
    </w:p>
    <w:p w14:paraId="5F4636A4" w14:textId="77777777" w:rsidR="00DA47CA" w:rsidRDefault="00ED5CAA" w:rsidP="00ED5CAA">
      <w:pPr>
        <w:pStyle w:val="Paragrafoelenco"/>
        <w:numPr>
          <w:ilvl w:val="0"/>
          <w:numId w:val="22"/>
        </w:numPr>
        <w:spacing w:line="240" w:lineRule="auto"/>
        <w:jc w:val="both"/>
        <w:rPr>
          <w:rFonts w:ascii="Calibri" w:hAnsi="Calibri" w:cs="Calibri"/>
        </w:rPr>
      </w:pPr>
      <w:r w:rsidRPr="00ED5CAA">
        <w:rPr>
          <w:rFonts w:ascii="Calibri" w:hAnsi="Calibri" w:cs="Calibri"/>
        </w:rPr>
        <w:t xml:space="preserve">di </w:t>
      </w:r>
      <w:r w:rsidRPr="00ED5CAA">
        <w:rPr>
          <w:rFonts w:ascii="Calibri" w:hAnsi="Calibri" w:cs="Calibri"/>
          <w:b/>
        </w:rPr>
        <w:t>ESSERE</w:t>
      </w:r>
      <w:r w:rsidRPr="00ED5CAA">
        <w:rPr>
          <w:rFonts w:ascii="Calibri" w:hAnsi="Calibri" w:cs="Calibri"/>
        </w:rPr>
        <w:t xml:space="preserve"> in possesso dei requisiti di cui all’art. 71 bis delle disposizioni di attuazione del codice civile;</w:t>
      </w:r>
    </w:p>
    <w:p w14:paraId="23AB2725" w14:textId="77777777" w:rsidR="000E6515" w:rsidRPr="00ED5CAA" w:rsidRDefault="000E6515" w:rsidP="000E6515">
      <w:pPr>
        <w:pStyle w:val="Paragrafoelenco"/>
        <w:spacing w:line="240" w:lineRule="auto"/>
        <w:ind w:left="458"/>
        <w:jc w:val="both"/>
        <w:rPr>
          <w:rFonts w:ascii="Calibri" w:hAnsi="Calibri" w:cs="Calibri"/>
        </w:rPr>
      </w:pPr>
    </w:p>
    <w:p w14:paraId="780969B0" w14:textId="77777777" w:rsidR="00ED5CAA" w:rsidRDefault="00ED5CAA" w:rsidP="00ED5CAA">
      <w:pPr>
        <w:pStyle w:val="Paragrafoelenco"/>
        <w:numPr>
          <w:ilvl w:val="0"/>
          <w:numId w:val="22"/>
        </w:numPr>
        <w:spacing w:line="240" w:lineRule="auto"/>
        <w:jc w:val="both"/>
        <w:rPr>
          <w:rFonts w:ascii="Calibri" w:hAnsi="Calibri" w:cs="Calibri"/>
        </w:rPr>
      </w:pPr>
      <w:r w:rsidRPr="00ED5CAA">
        <w:rPr>
          <w:rFonts w:ascii="Calibri" w:hAnsi="Calibri" w:cs="Calibri"/>
        </w:rPr>
        <w:t xml:space="preserve">di </w:t>
      </w:r>
      <w:r w:rsidRPr="00ED5CAA">
        <w:rPr>
          <w:rFonts w:ascii="Calibri" w:hAnsi="Calibri" w:cs="Calibri"/>
          <w:b/>
        </w:rPr>
        <w:t>NON ESSERE</w:t>
      </w:r>
      <w:r w:rsidRPr="00ED5CAA">
        <w:rPr>
          <w:rFonts w:ascii="Calibri" w:hAnsi="Calibri" w:cs="Calibri"/>
        </w:rPr>
        <w:t xml:space="preserve"> in possesso dei requisiti di cui all’art. 71 bis delle disposizioni di attuazione del codice civile;</w:t>
      </w:r>
    </w:p>
    <w:p w14:paraId="1C288E6F" w14:textId="77777777" w:rsidR="00ED5CAA" w:rsidRDefault="00ED5CAA" w:rsidP="00ED5CAA">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p>
    <w:p w14:paraId="5AECF7CA" w14:textId="77777777" w:rsidR="00ED5CAA" w:rsidRPr="006C2F19" w:rsidRDefault="00322B46" w:rsidP="006C2F19">
      <w:pPr>
        <w:pStyle w:val="Paragrafoelenco"/>
        <w:numPr>
          <w:ilvl w:val="0"/>
          <w:numId w:val="25"/>
        </w:numPr>
        <w:spacing w:line="240" w:lineRule="auto"/>
        <w:jc w:val="both"/>
        <w:rPr>
          <w:rFonts w:ascii="Calibri" w:hAnsi="Calibri" w:cs="Calibri"/>
        </w:rPr>
      </w:pPr>
      <w:r>
        <w:rPr>
          <w:rFonts w:ascii="Calibri" w:hAnsi="Calibri" w:cs="Calibri"/>
        </w:rPr>
        <w:t>Copia del d</w:t>
      </w:r>
      <w:r w:rsidR="00ED5CAA" w:rsidRPr="00ED5CAA">
        <w:rPr>
          <w:rFonts w:ascii="Calibri" w:hAnsi="Calibri" w:cs="Calibri"/>
        </w:rPr>
        <w:t xml:space="preserve">ocumento di identità del dichiarante in corso di validità. </w:t>
      </w:r>
    </w:p>
    <w:p w14:paraId="4FEAD474"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3AAF1F0C" w14:textId="77777777" w:rsidR="005C17E9" w:rsidRPr="004F5AA1" w:rsidRDefault="004F5AA1" w:rsidP="005C17E9">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6B46E719" w14:textId="77777777" w:rsidR="007869C6" w:rsidRDefault="007869C6" w:rsidP="005C17E9">
      <w:pPr>
        <w:spacing w:line="240" w:lineRule="auto"/>
        <w:jc w:val="both"/>
        <w:rPr>
          <w:sz w:val="21"/>
        </w:rPr>
      </w:pPr>
    </w:p>
    <w:p w14:paraId="529D2C03" w14:textId="77777777" w:rsidR="006A2AFB" w:rsidRPr="00E622FE" w:rsidRDefault="006A2AFB" w:rsidP="006A2AFB">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72AE51B1" w14:textId="77777777" w:rsidR="006A2AFB" w:rsidRPr="00E622FE" w:rsidRDefault="006A2AFB" w:rsidP="006A2AFB">
      <w:pPr>
        <w:pBdr>
          <w:top w:val="nil"/>
          <w:left w:val="nil"/>
          <w:bottom w:val="nil"/>
          <w:right w:val="nil"/>
          <w:between w:val="nil"/>
        </w:pBdr>
        <w:spacing w:before="170" w:after="0" w:line="240"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2480F501" w14:textId="77777777" w:rsidR="006A2AFB" w:rsidRDefault="006A2AFB" w:rsidP="006A2AFB">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0243EB07" w14:textId="77777777" w:rsidR="006A2AFB" w:rsidRPr="00E622FE" w:rsidRDefault="006A2AFB" w:rsidP="006A2AFB">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029C1FD9"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3A7E7312"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20113C99"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xml:space="preserve">, nominato con decreto della Presidenza del </w:t>
      </w:r>
      <w:proofErr w:type="gramStart"/>
      <w:r w:rsidRPr="00E622FE">
        <w:rPr>
          <w:rFonts w:eastAsia="Calibri" w:cstheme="minorHAnsi"/>
          <w:color w:val="000000"/>
          <w:lang w:eastAsia="it-IT"/>
        </w:rPr>
        <w:t>Consiglio dei Ministri</w:t>
      </w:r>
      <w:proofErr w:type="gramEnd"/>
      <w:r w:rsidRPr="00E622FE">
        <w:rPr>
          <w:rFonts w:eastAsia="Calibri" w:cstheme="minorHAnsi"/>
          <w:color w:val="000000"/>
          <w:lang w:eastAsia="it-IT"/>
        </w:rPr>
        <w:t>.</w:t>
      </w:r>
    </w:p>
    <w:p w14:paraId="504E7B38"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6DD9F1AD" w14:textId="77777777" w:rsidR="006A2AFB" w:rsidRPr="00C660AA" w:rsidRDefault="006A2AFB" w:rsidP="006A2AFB">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5D196DFC"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339D4B5E"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3461216D"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proofErr w:type="gramStart"/>
      <w:r w:rsidRPr="00E622FE">
        <w:rPr>
          <w:rFonts w:eastAsia="Calibri" w:cstheme="minorHAnsi"/>
          <w:color w:val="000000"/>
          <w:lang w:eastAsia="it-IT"/>
        </w:rPr>
        <w:t>ema</w:t>
      </w:r>
      <w:r w:rsidRPr="001F1851">
        <w:rPr>
          <w:rFonts w:eastAsia="Calibri" w:cstheme="minorHAnsi"/>
          <w:color w:val="000000"/>
          <w:highlight w:val="yellow"/>
          <w:lang w:eastAsia="it-IT"/>
        </w:rPr>
        <w:t>il</w:t>
      </w:r>
      <w:proofErr w:type="gramEnd"/>
      <w:r w:rsidRPr="001F1851">
        <w:rPr>
          <w:rFonts w:eastAsia="Calibri" w:cstheme="minorHAnsi"/>
          <w:color w:val="000000"/>
          <w:highlight w:val="yellow"/>
          <w:lang w:eastAsia="it-IT"/>
        </w:rPr>
        <w:t xml:space="preserve">: </w:t>
      </w:r>
      <w:hyperlink r:id="rId10">
        <w:r w:rsidRPr="001F1851">
          <w:rPr>
            <w:rFonts w:eastAsia="Calibri" w:cstheme="minorHAnsi"/>
            <w:color w:val="0000FF"/>
            <w:highlight w:val="yellow"/>
            <w:u w:val="single"/>
            <w:lang w:eastAsia="it-IT"/>
          </w:rPr>
          <w:t>rpd.sisma2016@governo.it</w:t>
        </w:r>
      </w:hyperlink>
    </w:p>
    <w:p w14:paraId="0D4C28FE"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3DCD5C4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0A5B19D8"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63FB3075" w14:textId="77777777" w:rsidR="006A2AFB" w:rsidRPr="00E622FE" w:rsidRDefault="006A2AFB" w:rsidP="006A2AFB">
      <w:pPr>
        <w:numPr>
          <w:ilvl w:val="0"/>
          <w:numId w:val="28"/>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367EF32A" w14:textId="77777777" w:rsidR="006A2AFB" w:rsidRPr="00E622FE" w:rsidRDefault="006A2AFB" w:rsidP="006A2AFB">
      <w:pPr>
        <w:numPr>
          <w:ilvl w:val="0"/>
          <w:numId w:val="28"/>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3F4352FF" w14:textId="77777777" w:rsidR="006A2AFB" w:rsidRPr="00E622FE" w:rsidRDefault="006A2AFB" w:rsidP="006A2AFB">
      <w:pPr>
        <w:numPr>
          <w:ilvl w:val="0"/>
          <w:numId w:val="28"/>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14D3D815"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1E155022"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A tali fini, saranno trattati in questa fase esclusivamente dati personali di cui all’art. 4, n. 1 del GDPR, ed in particolare dati anagrafici e di contatto del soggetto dichiarante (legittimato, delegato, professionista).</w:t>
      </w:r>
    </w:p>
    <w:p w14:paraId="32AFEC2A"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2203C97F"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0655D67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261272F2" w14:textId="77777777" w:rsidR="006A2AFB" w:rsidRPr="00E622FE" w:rsidRDefault="006A2AFB" w:rsidP="006A2AFB">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2CD07938" w14:textId="77777777" w:rsidR="006A2AFB" w:rsidRPr="00E622FE" w:rsidRDefault="006A2AFB" w:rsidP="006A2AFB">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54C721E0" w14:textId="77777777" w:rsidR="006A2AFB" w:rsidRPr="00E622FE" w:rsidRDefault="006A2AFB" w:rsidP="006A2AFB">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766B619E"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108CE309" w14:textId="77777777" w:rsidR="006A2AFB" w:rsidRPr="00E622FE" w:rsidRDefault="006A2AFB" w:rsidP="006A2AFB">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07EE94D5"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66D06A92"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64954FE8"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4F277490"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37AF86C3" w14:textId="77777777" w:rsidR="006A2AFB" w:rsidRPr="00E622FE" w:rsidRDefault="006A2AFB" w:rsidP="006A2AFB">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63D1C77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01DF391E"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6B9EEF8A"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4B587174"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1B054456"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Il Titolare non adotta alcun processo automatizzato, compresa la profilazione di cui all’art. 22, par. 1 e 4, del GDPR.</w:t>
      </w:r>
    </w:p>
    <w:p w14:paraId="341B5EE0"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191383BB"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1CB153EF"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 xml:space="preserve">Alla cessazione della gestione straordinaria, i dati acquisiti saranno mantenuti per ulteriori </w:t>
      </w:r>
      <w:proofErr w:type="gramStart"/>
      <w:r w:rsidRPr="00E622FE">
        <w:rPr>
          <w:rFonts w:eastAsia="Calibri" w:cstheme="minorHAnsi"/>
          <w:color w:val="000000"/>
          <w:lang w:eastAsia="it-IT"/>
        </w:rPr>
        <w:t>10</w:t>
      </w:r>
      <w:proofErr w:type="gramEnd"/>
      <w:r w:rsidRPr="00E622FE">
        <w:rPr>
          <w:rFonts w:eastAsia="Calibri" w:cstheme="minorHAnsi"/>
          <w:color w:val="000000"/>
          <w:lang w:eastAsia="it-IT"/>
        </w:rPr>
        <w:t xml:space="preserve"> anni ovvero per il maggior termine prescrizionale applicabile al trattamento di cui trattasi.</w:t>
      </w:r>
    </w:p>
    <w:p w14:paraId="59EDB7BD"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0FAEA52E"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3A038F2E"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3598BDC4"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3FB4CAD1" w14:textId="77777777" w:rsidR="006A2AFB" w:rsidRPr="00E622FE" w:rsidRDefault="006A2AFB" w:rsidP="006A2AFB">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15D579C3" w14:textId="77777777" w:rsidR="006A2AFB" w:rsidRPr="00E622FE" w:rsidRDefault="006A2AFB" w:rsidP="006A2AFB">
      <w:pPr>
        <w:numPr>
          <w:ilvl w:val="0"/>
          <w:numId w:val="29"/>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39ACEC68"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39F61EF5"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320E7A4A"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70764830"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04BC5B71"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490CB739"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lastRenderedPageBreak/>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07DDCFE4"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1">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637D0A8F" w14:textId="77777777" w:rsidR="006A2AFB" w:rsidRPr="00E622FE" w:rsidRDefault="006A2AFB" w:rsidP="006A2AFB">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4F0AFAA6" w14:textId="77777777" w:rsidR="006A2AFB" w:rsidRPr="00E622FE" w:rsidRDefault="006A2AFB" w:rsidP="006A2AFB">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03C87AE9" w14:textId="77777777" w:rsidR="00680C87" w:rsidRDefault="00680C87" w:rsidP="005C17E9">
      <w:pPr>
        <w:spacing w:line="240" w:lineRule="auto"/>
        <w:jc w:val="both"/>
        <w:rPr>
          <w:sz w:val="21"/>
        </w:rPr>
      </w:pPr>
    </w:p>
    <w:sectPr w:rsidR="00680C87">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77C3" w14:textId="77777777" w:rsidR="00911EE3" w:rsidRDefault="00911EE3" w:rsidP="00691933">
      <w:pPr>
        <w:spacing w:after="0" w:line="240" w:lineRule="auto"/>
      </w:pPr>
      <w:r>
        <w:separator/>
      </w:r>
    </w:p>
  </w:endnote>
  <w:endnote w:type="continuationSeparator" w:id="0">
    <w:p w14:paraId="19402037" w14:textId="77777777" w:rsidR="00911EE3" w:rsidRDefault="00911EE3"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EndPr/>
    <w:sdtContent>
      <w:sdt>
        <w:sdtPr>
          <w:id w:val="-1769616900"/>
          <w:docPartObj>
            <w:docPartGallery w:val="Page Numbers (Top of Page)"/>
            <w:docPartUnique/>
          </w:docPartObj>
        </w:sdtPr>
        <w:sdtEndPr/>
        <w:sdtContent>
          <w:p w14:paraId="665B2385" w14:textId="77777777" w:rsidR="00ED5CAA" w:rsidRDefault="00ED5CAA">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3B0717">
              <w:rPr>
                <w:b/>
                <w:bCs/>
                <w:noProof/>
                <w:sz w:val="16"/>
                <w:szCs w:val="16"/>
              </w:rPr>
              <w:t>1</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3B0717">
              <w:rPr>
                <w:b/>
                <w:bCs/>
                <w:noProof/>
                <w:sz w:val="16"/>
                <w:szCs w:val="16"/>
              </w:rPr>
              <w:t>1</w:t>
            </w:r>
            <w:r w:rsidRPr="00814FC1">
              <w:rPr>
                <w:b/>
                <w:bCs/>
                <w:sz w:val="16"/>
                <w:szCs w:val="16"/>
              </w:rPr>
              <w:fldChar w:fldCharType="end"/>
            </w:r>
          </w:p>
        </w:sdtContent>
      </w:sdt>
    </w:sdtContent>
  </w:sdt>
  <w:p w14:paraId="516E92F0" w14:textId="77777777" w:rsidR="00ED5CAA" w:rsidRDefault="00ED5C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661F" w14:textId="77777777" w:rsidR="00911EE3" w:rsidRDefault="00911EE3" w:rsidP="00691933">
      <w:pPr>
        <w:spacing w:after="0" w:line="240" w:lineRule="auto"/>
      </w:pPr>
      <w:r>
        <w:separator/>
      </w:r>
    </w:p>
  </w:footnote>
  <w:footnote w:type="continuationSeparator" w:id="0">
    <w:p w14:paraId="2EBFFD92" w14:textId="77777777" w:rsidR="00911EE3" w:rsidRDefault="00911EE3" w:rsidP="00691933">
      <w:pPr>
        <w:spacing w:after="0" w:line="240" w:lineRule="auto"/>
      </w:pPr>
      <w:r>
        <w:continuationSeparator/>
      </w:r>
    </w:p>
  </w:footnote>
  <w:footnote w:id="1">
    <w:p w14:paraId="5557ACE9" w14:textId="77777777" w:rsidR="00ED5CAA" w:rsidRPr="007C37EA" w:rsidRDefault="00ED5CAA" w:rsidP="007C37EA">
      <w:pPr>
        <w:pStyle w:val="Testonotaapidipagina"/>
        <w:jc w:val="both"/>
        <w:rPr>
          <w:i/>
          <w:sz w:val="16"/>
          <w:szCs w:val="16"/>
        </w:rPr>
      </w:pPr>
      <w:r w:rsidRPr="007C37EA">
        <w:rPr>
          <w:rStyle w:val="Rimandonotaapidipagina"/>
          <w:i/>
          <w:sz w:val="16"/>
          <w:szCs w:val="16"/>
        </w:rPr>
        <w:footnoteRef/>
      </w:r>
      <w:r w:rsidRPr="007C37EA">
        <w:rPr>
          <w:i/>
          <w:sz w:val="16"/>
          <w:szCs w:val="16"/>
        </w:rPr>
        <w:t xml:space="preserve"> </w:t>
      </w:r>
      <w:r w:rsidRPr="007C37EA">
        <w:rPr>
          <w:rFonts w:cs="Calibri-Italic"/>
          <w:i/>
          <w:iCs/>
          <w:sz w:val="16"/>
          <w:szCs w:val="16"/>
        </w:rPr>
        <w:t>Dichiarazione auto certificativa</w:t>
      </w:r>
      <w:r w:rsidR="00AB16FA">
        <w:rPr>
          <w:rFonts w:cs="Calibri-Italic"/>
          <w:i/>
          <w:iCs/>
          <w:sz w:val="16"/>
          <w:szCs w:val="16"/>
        </w:rPr>
        <w:t xml:space="preserve"> con la quale il presidente del consorzio</w:t>
      </w:r>
      <w:r w:rsidR="006C2F19">
        <w:rPr>
          <w:rFonts w:cs="Calibri-Italic"/>
          <w:i/>
          <w:iCs/>
          <w:sz w:val="16"/>
          <w:szCs w:val="16"/>
        </w:rPr>
        <w:t xml:space="preserve"> o l’amministratore di condominio registrato</w:t>
      </w:r>
      <w:r>
        <w:rPr>
          <w:rFonts w:cs="Calibri-Italic"/>
          <w:i/>
          <w:iCs/>
          <w:sz w:val="16"/>
          <w:szCs w:val="16"/>
        </w:rPr>
        <w:t xml:space="preserve"> attesti di possedere i requisiti professionali e di onorabilità necessari per svolgere l’incarico ai sensi dell’art. 71 bis delle disposizioni di attuazione del codice civile</w:t>
      </w:r>
      <w:r w:rsidR="003617BD">
        <w:rPr>
          <w:rFonts w:cs="Calibri-Italic"/>
          <w:i/>
          <w:iCs/>
          <w:sz w:val="16"/>
          <w:szCs w:val="16"/>
        </w:rPr>
        <w:t>.</w:t>
      </w:r>
    </w:p>
  </w:footnote>
  <w:footnote w:id="2">
    <w:p w14:paraId="1F914FC5" w14:textId="77777777" w:rsidR="00ED5CAA" w:rsidRPr="007869C6" w:rsidRDefault="00ED5CAA"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Pr>
          <w:i/>
          <w:sz w:val="16"/>
          <w:szCs w:val="16"/>
        </w:rPr>
        <w:t>Modello da sottoscrivere</w:t>
      </w:r>
      <w:r w:rsidRPr="007869C6">
        <w:rPr>
          <w:i/>
          <w:sz w:val="16"/>
          <w:szCs w:val="16"/>
        </w:rPr>
        <w:t xml:space="preserve"> </w:t>
      </w:r>
      <w:r>
        <w:rPr>
          <w:i/>
          <w:sz w:val="16"/>
          <w:szCs w:val="16"/>
        </w:rPr>
        <w:t>da parte del dichiarante con propria firma digitale</w:t>
      </w:r>
      <w:r w:rsidRPr="007869C6">
        <w:rPr>
          <w:i/>
          <w:sz w:val="16"/>
          <w:szCs w:val="16"/>
        </w:rPr>
        <w:t xml:space="preserv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 oppure con firma autografa con allegato documento d’identità del dichiarante in corso di validità.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ED5CAA" w14:paraId="1ABA771E" w14:textId="77777777" w:rsidTr="00977DDF">
      <w:trPr>
        <w:trHeight w:val="999"/>
      </w:trPr>
      <w:tc>
        <w:tcPr>
          <w:tcW w:w="8802" w:type="dxa"/>
          <w:tcBorders>
            <w:top w:val="nil"/>
            <w:left w:val="nil"/>
            <w:bottom w:val="nil"/>
            <w:right w:val="nil"/>
          </w:tcBorders>
        </w:tcPr>
        <w:p w14:paraId="5705B821" w14:textId="77777777" w:rsidR="00ED5CAA" w:rsidRDefault="00ED5CAA"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ED5CAA" w14:paraId="25B4E8A4" w14:textId="77777777" w:rsidTr="001004FB">
            <w:tc>
              <w:tcPr>
                <w:tcW w:w="2694" w:type="dxa"/>
              </w:tcPr>
              <w:p w14:paraId="11759BAA" w14:textId="77777777" w:rsidR="00ED5CAA" w:rsidRDefault="00ED5CAA"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67E17BC8" w14:textId="77777777" w:rsidR="00ED5CAA" w:rsidRDefault="00ED5CAA" w:rsidP="00977DDF">
                <w:pPr>
                  <w:pStyle w:val="Intestazione"/>
                  <w:tabs>
                    <w:tab w:val="clear" w:pos="4819"/>
                  </w:tabs>
                  <w:rPr>
                    <w:b/>
                    <w:sz w:val="24"/>
                  </w:rPr>
                </w:pPr>
                <w:r>
                  <w:rPr>
                    <w:b/>
                    <w:sz w:val="24"/>
                  </w:rPr>
                  <w:t>Commissario Straordinario alla Ricostruzione</w:t>
                </w:r>
              </w:p>
              <w:p w14:paraId="50569C3E" w14:textId="77777777" w:rsidR="00ED5CAA" w:rsidRDefault="00ED5CAA" w:rsidP="00977DDF">
                <w:pPr>
                  <w:pStyle w:val="Intestazione"/>
                  <w:tabs>
                    <w:tab w:val="clear" w:pos="4819"/>
                  </w:tabs>
                  <w:rPr>
                    <w:b/>
                    <w:sz w:val="24"/>
                  </w:rPr>
                </w:pPr>
                <w:r>
                  <w:rPr>
                    <w:b/>
                    <w:sz w:val="24"/>
                  </w:rPr>
                  <w:t>nei Comuni di Chieti e di Bucchianico</w:t>
                </w:r>
              </w:p>
            </w:tc>
          </w:tr>
        </w:tbl>
        <w:p w14:paraId="284DA78F" w14:textId="77777777" w:rsidR="00ED5CAA" w:rsidRDefault="00ED5CAA"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4621D378" w14:textId="77777777" w:rsidR="00ED5CAA" w:rsidRDefault="00ED5CAA" w:rsidP="00977DDF">
          <w:pPr>
            <w:pStyle w:val="Intestazione"/>
            <w:jc w:val="both"/>
          </w:pPr>
        </w:p>
      </w:tc>
    </w:tr>
  </w:tbl>
  <w:p w14:paraId="7E78692D" w14:textId="77777777" w:rsidR="00ED5CAA" w:rsidRDefault="00ED5CAA"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3158"/>
    <w:multiLevelType w:val="hybridMultilevel"/>
    <w:tmpl w:val="492F5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50E67"/>
    <w:multiLevelType w:val="hybridMultilevel"/>
    <w:tmpl w:val="5A19B0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0EC992"/>
    <w:multiLevelType w:val="hybridMultilevel"/>
    <w:tmpl w:val="1E8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E67FE5"/>
    <w:multiLevelType w:val="hybridMultilevel"/>
    <w:tmpl w:val="DD4A23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5"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7"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1260E6"/>
    <w:multiLevelType w:val="hybridMultilevel"/>
    <w:tmpl w:val="2648F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5E7E82"/>
    <w:multiLevelType w:val="hybridMultilevel"/>
    <w:tmpl w:val="3CE6C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2640B9"/>
    <w:multiLevelType w:val="hybridMultilevel"/>
    <w:tmpl w:val="C6EC01D2"/>
    <w:lvl w:ilvl="0" w:tplc="13866F92">
      <w:numFmt w:val="bullet"/>
      <w:lvlText w:val=""/>
      <w:lvlJc w:val="left"/>
      <w:pPr>
        <w:ind w:left="409" w:hanging="360"/>
      </w:pPr>
      <w:rPr>
        <w:rFonts w:ascii="Wingdings" w:eastAsiaTheme="minorHAnsi" w:hAnsi="Wingdings" w:cs="Calibri" w:hint="default"/>
      </w:rPr>
    </w:lvl>
    <w:lvl w:ilvl="1" w:tplc="04100003" w:tentative="1">
      <w:start w:val="1"/>
      <w:numFmt w:val="bullet"/>
      <w:lvlText w:val="o"/>
      <w:lvlJc w:val="left"/>
      <w:pPr>
        <w:ind w:left="1129" w:hanging="360"/>
      </w:pPr>
      <w:rPr>
        <w:rFonts w:ascii="Courier New" w:hAnsi="Courier New" w:cs="Courier New" w:hint="default"/>
      </w:rPr>
    </w:lvl>
    <w:lvl w:ilvl="2" w:tplc="04100005" w:tentative="1">
      <w:start w:val="1"/>
      <w:numFmt w:val="bullet"/>
      <w:lvlText w:val=""/>
      <w:lvlJc w:val="left"/>
      <w:pPr>
        <w:ind w:left="1849" w:hanging="360"/>
      </w:pPr>
      <w:rPr>
        <w:rFonts w:ascii="Wingdings" w:hAnsi="Wingdings" w:hint="default"/>
      </w:rPr>
    </w:lvl>
    <w:lvl w:ilvl="3" w:tplc="04100001" w:tentative="1">
      <w:start w:val="1"/>
      <w:numFmt w:val="bullet"/>
      <w:lvlText w:val=""/>
      <w:lvlJc w:val="left"/>
      <w:pPr>
        <w:ind w:left="2569" w:hanging="360"/>
      </w:pPr>
      <w:rPr>
        <w:rFonts w:ascii="Symbol" w:hAnsi="Symbol" w:hint="default"/>
      </w:rPr>
    </w:lvl>
    <w:lvl w:ilvl="4" w:tplc="04100003" w:tentative="1">
      <w:start w:val="1"/>
      <w:numFmt w:val="bullet"/>
      <w:lvlText w:val="o"/>
      <w:lvlJc w:val="left"/>
      <w:pPr>
        <w:ind w:left="3289" w:hanging="360"/>
      </w:pPr>
      <w:rPr>
        <w:rFonts w:ascii="Courier New" w:hAnsi="Courier New" w:cs="Courier New" w:hint="default"/>
      </w:rPr>
    </w:lvl>
    <w:lvl w:ilvl="5" w:tplc="04100005" w:tentative="1">
      <w:start w:val="1"/>
      <w:numFmt w:val="bullet"/>
      <w:lvlText w:val=""/>
      <w:lvlJc w:val="left"/>
      <w:pPr>
        <w:ind w:left="4009" w:hanging="360"/>
      </w:pPr>
      <w:rPr>
        <w:rFonts w:ascii="Wingdings" w:hAnsi="Wingdings" w:hint="default"/>
      </w:rPr>
    </w:lvl>
    <w:lvl w:ilvl="6" w:tplc="04100001" w:tentative="1">
      <w:start w:val="1"/>
      <w:numFmt w:val="bullet"/>
      <w:lvlText w:val=""/>
      <w:lvlJc w:val="left"/>
      <w:pPr>
        <w:ind w:left="4729" w:hanging="360"/>
      </w:pPr>
      <w:rPr>
        <w:rFonts w:ascii="Symbol" w:hAnsi="Symbol" w:hint="default"/>
      </w:rPr>
    </w:lvl>
    <w:lvl w:ilvl="7" w:tplc="04100003" w:tentative="1">
      <w:start w:val="1"/>
      <w:numFmt w:val="bullet"/>
      <w:lvlText w:val="o"/>
      <w:lvlJc w:val="left"/>
      <w:pPr>
        <w:ind w:left="5449" w:hanging="360"/>
      </w:pPr>
      <w:rPr>
        <w:rFonts w:ascii="Courier New" w:hAnsi="Courier New" w:cs="Courier New" w:hint="default"/>
      </w:rPr>
    </w:lvl>
    <w:lvl w:ilvl="8" w:tplc="04100005" w:tentative="1">
      <w:start w:val="1"/>
      <w:numFmt w:val="bullet"/>
      <w:lvlText w:val=""/>
      <w:lvlJc w:val="left"/>
      <w:pPr>
        <w:ind w:left="6169" w:hanging="360"/>
      </w:pPr>
      <w:rPr>
        <w:rFonts w:ascii="Wingdings" w:hAnsi="Wingdings" w:hint="default"/>
      </w:rPr>
    </w:lvl>
  </w:abstractNum>
  <w:abstractNum w:abstractNumId="13"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13352A"/>
    <w:multiLevelType w:val="hybridMultilevel"/>
    <w:tmpl w:val="A05A47F8"/>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5"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3D5F38D5"/>
    <w:multiLevelType w:val="hybridMultilevel"/>
    <w:tmpl w:val="99EA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56F276"/>
    <w:multiLevelType w:val="hybridMultilevel"/>
    <w:tmpl w:val="4B43BA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DE0D2A"/>
    <w:multiLevelType w:val="hybridMultilevel"/>
    <w:tmpl w:val="82DC8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DF5564B"/>
    <w:multiLevelType w:val="hybridMultilevel"/>
    <w:tmpl w:val="AD1A5942"/>
    <w:lvl w:ilvl="0" w:tplc="04100001">
      <w:start w:val="1"/>
      <w:numFmt w:val="bullet"/>
      <w:lvlText w:val=""/>
      <w:lvlJc w:val="left"/>
      <w:pPr>
        <w:ind w:left="720" w:hanging="360"/>
      </w:pPr>
      <w:rPr>
        <w:rFonts w:ascii="Symbol" w:hAnsi="Symbol"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4"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25"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BC39F1"/>
    <w:multiLevelType w:val="hybridMultilevel"/>
    <w:tmpl w:val="0F84BA3A"/>
    <w:lvl w:ilvl="0" w:tplc="13866F92">
      <w:numFmt w:val="bullet"/>
      <w:lvlText w:val=""/>
      <w:lvlJc w:val="left"/>
      <w:pPr>
        <w:ind w:left="458" w:hanging="360"/>
      </w:pPr>
      <w:rPr>
        <w:rFonts w:ascii="Wingdings" w:eastAsiaTheme="minorHAnsi" w:hAnsi="Wingdings" w:cs="Calibr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8" w15:restartNumberingAfterBreak="0">
    <w:nsid w:val="7DE33142"/>
    <w:multiLevelType w:val="hybridMultilevel"/>
    <w:tmpl w:val="F41ECEDA"/>
    <w:lvl w:ilvl="0" w:tplc="13866F92">
      <w:numFmt w:val="bullet"/>
      <w:lvlText w:val=""/>
      <w:lvlJc w:val="left"/>
      <w:pPr>
        <w:ind w:left="409" w:hanging="360"/>
      </w:pPr>
      <w:rPr>
        <w:rFonts w:ascii="Wingdings" w:eastAsiaTheme="minorHAns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900">
    <w:abstractNumId w:val="17"/>
  </w:num>
  <w:num w:numId="2" w16cid:durableId="759066554">
    <w:abstractNumId w:val="22"/>
  </w:num>
  <w:num w:numId="3" w16cid:durableId="1421756568">
    <w:abstractNumId w:val="7"/>
  </w:num>
  <w:num w:numId="4" w16cid:durableId="463432558">
    <w:abstractNumId w:val="5"/>
  </w:num>
  <w:num w:numId="5" w16cid:durableId="1199200487">
    <w:abstractNumId w:val="9"/>
  </w:num>
  <w:num w:numId="6" w16cid:durableId="141235745">
    <w:abstractNumId w:val="25"/>
  </w:num>
  <w:num w:numId="7" w16cid:durableId="89355943">
    <w:abstractNumId w:val="26"/>
  </w:num>
  <w:num w:numId="8" w16cid:durableId="246965465">
    <w:abstractNumId w:val="13"/>
  </w:num>
  <w:num w:numId="9" w16cid:durableId="839658105">
    <w:abstractNumId w:val="10"/>
  </w:num>
  <w:num w:numId="10" w16cid:durableId="1932856663">
    <w:abstractNumId w:val="23"/>
  </w:num>
  <w:num w:numId="11" w16cid:durableId="1219710762">
    <w:abstractNumId w:val="20"/>
  </w:num>
  <w:num w:numId="12" w16cid:durableId="772748906">
    <w:abstractNumId w:val="18"/>
  </w:num>
  <w:num w:numId="13" w16cid:durableId="572276825">
    <w:abstractNumId w:val="2"/>
  </w:num>
  <w:num w:numId="14" w16cid:durableId="2085372116">
    <w:abstractNumId w:val="0"/>
  </w:num>
  <w:num w:numId="15" w16cid:durableId="1997222081">
    <w:abstractNumId w:val="3"/>
  </w:num>
  <w:num w:numId="16" w16cid:durableId="540241819">
    <w:abstractNumId w:val="1"/>
  </w:num>
  <w:num w:numId="17" w16cid:durableId="777262844">
    <w:abstractNumId w:val="24"/>
  </w:num>
  <w:num w:numId="18" w16cid:durableId="1896701144">
    <w:abstractNumId w:val="6"/>
  </w:num>
  <w:num w:numId="19" w16cid:durableId="243300659">
    <w:abstractNumId w:val="16"/>
  </w:num>
  <w:num w:numId="20" w16cid:durableId="824781266">
    <w:abstractNumId w:val="14"/>
  </w:num>
  <w:num w:numId="21" w16cid:durableId="1818760870">
    <w:abstractNumId w:val="12"/>
  </w:num>
  <w:num w:numId="22" w16cid:durableId="487329266">
    <w:abstractNumId w:val="27"/>
  </w:num>
  <w:num w:numId="23" w16cid:durableId="211308306">
    <w:abstractNumId w:val="28"/>
  </w:num>
  <w:num w:numId="24" w16cid:durableId="1835030211">
    <w:abstractNumId w:val="11"/>
  </w:num>
  <w:num w:numId="25" w16cid:durableId="1575240255">
    <w:abstractNumId w:val="4"/>
  </w:num>
  <w:num w:numId="26" w16cid:durableId="293410212">
    <w:abstractNumId w:val="8"/>
  </w:num>
  <w:num w:numId="27" w16cid:durableId="208566139">
    <w:abstractNumId w:val="19"/>
  </w:num>
  <w:num w:numId="28" w16cid:durableId="13500913">
    <w:abstractNumId w:val="15"/>
  </w:num>
  <w:num w:numId="29" w16cid:durableId="2121340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13BFD"/>
    <w:rsid w:val="000A0996"/>
    <w:rsid w:val="000E6515"/>
    <w:rsid w:val="000E7AB7"/>
    <w:rsid w:val="001004FB"/>
    <w:rsid w:val="00134158"/>
    <w:rsid w:val="00181D1A"/>
    <w:rsid w:val="00190832"/>
    <w:rsid w:val="001A0E35"/>
    <w:rsid w:val="001A4135"/>
    <w:rsid w:val="001C20EE"/>
    <w:rsid w:val="00200C2B"/>
    <w:rsid w:val="00201269"/>
    <w:rsid w:val="0022195E"/>
    <w:rsid w:val="00290914"/>
    <w:rsid w:val="00291C66"/>
    <w:rsid w:val="002A63AE"/>
    <w:rsid w:val="002B25C5"/>
    <w:rsid w:val="002E1B57"/>
    <w:rsid w:val="0030171E"/>
    <w:rsid w:val="00322B46"/>
    <w:rsid w:val="003617BD"/>
    <w:rsid w:val="0036783B"/>
    <w:rsid w:val="00383E1A"/>
    <w:rsid w:val="003B0717"/>
    <w:rsid w:val="003F2F91"/>
    <w:rsid w:val="003F6490"/>
    <w:rsid w:val="003F7ABD"/>
    <w:rsid w:val="0044492A"/>
    <w:rsid w:val="00447EC9"/>
    <w:rsid w:val="004A65AE"/>
    <w:rsid w:val="004E40D4"/>
    <w:rsid w:val="004E621A"/>
    <w:rsid w:val="004E692C"/>
    <w:rsid w:val="004E7C26"/>
    <w:rsid w:val="004F5AA1"/>
    <w:rsid w:val="004F771D"/>
    <w:rsid w:val="00537267"/>
    <w:rsid w:val="0059023F"/>
    <w:rsid w:val="005C17E9"/>
    <w:rsid w:val="006020F1"/>
    <w:rsid w:val="00680C87"/>
    <w:rsid w:val="00691933"/>
    <w:rsid w:val="006A2AFB"/>
    <w:rsid w:val="006C2F19"/>
    <w:rsid w:val="006C3431"/>
    <w:rsid w:val="006D4AAB"/>
    <w:rsid w:val="0078671F"/>
    <w:rsid w:val="007869C6"/>
    <w:rsid w:val="00795D9D"/>
    <w:rsid w:val="007A56ED"/>
    <w:rsid w:val="007B2033"/>
    <w:rsid w:val="007C37EA"/>
    <w:rsid w:val="00814FC1"/>
    <w:rsid w:val="008308AA"/>
    <w:rsid w:val="00891B9F"/>
    <w:rsid w:val="00911EE3"/>
    <w:rsid w:val="00950187"/>
    <w:rsid w:val="0096532A"/>
    <w:rsid w:val="00977DDF"/>
    <w:rsid w:val="00985CDD"/>
    <w:rsid w:val="009A20F0"/>
    <w:rsid w:val="009A47EA"/>
    <w:rsid w:val="009D1F9D"/>
    <w:rsid w:val="009E3CEC"/>
    <w:rsid w:val="00A33F0E"/>
    <w:rsid w:val="00A61E2E"/>
    <w:rsid w:val="00A808EB"/>
    <w:rsid w:val="00AB16FA"/>
    <w:rsid w:val="00AC0D39"/>
    <w:rsid w:val="00B53935"/>
    <w:rsid w:val="00B77F5F"/>
    <w:rsid w:val="00BA2557"/>
    <w:rsid w:val="00BA2574"/>
    <w:rsid w:val="00BA5DBC"/>
    <w:rsid w:val="00BA621E"/>
    <w:rsid w:val="00BB1595"/>
    <w:rsid w:val="00BB6946"/>
    <w:rsid w:val="00BD0374"/>
    <w:rsid w:val="00BD237C"/>
    <w:rsid w:val="00BF038B"/>
    <w:rsid w:val="00C25994"/>
    <w:rsid w:val="00CF3E54"/>
    <w:rsid w:val="00D7203D"/>
    <w:rsid w:val="00D97C8E"/>
    <w:rsid w:val="00DA47CA"/>
    <w:rsid w:val="00DB3E36"/>
    <w:rsid w:val="00DB51E3"/>
    <w:rsid w:val="00DC1430"/>
    <w:rsid w:val="00DC5EEC"/>
    <w:rsid w:val="00E163EF"/>
    <w:rsid w:val="00E505D6"/>
    <w:rsid w:val="00E65ACE"/>
    <w:rsid w:val="00E877B9"/>
    <w:rsid w:val="00EC18DB"/>
    <w:rsid w:val="00EC2033"/>
    <w:rsid w:val="00ED5CAA"/>
    <w:rsid w:val="00F44E37"/>
    <w:rsid w:val="00F94286"/>
    <w:rsid w:val="00FB5604"/>
    <w:rsid w:val="00FC7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6411"/>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786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sisma2016@governo.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D230-FF2A-4EAB-8CCE-C30D28D2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2156</Words>
  <Characters>12295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Alberta Del Piero</cp:lastModifiedBy>
  <cp:revision>13</cp:revision>
  <cp:lastPrinted>2026-04-21T15:46:00Z</cp:lastPrinted>
  <dcterms:created xsi:type="dcterms:W3CDTF">2026-04-28T11:53:00Z</dcterms:created>
  <dcterms:modified xsi:type="dcterms:W3CDTF">2026-06-30T09:45:00Z</dcterms:modified>
</cp:coreProperties>
</file>